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drawing>
          <wp:anchor distT="0" distB="0" distL="114300" distR="114300" simplePos="0" relativeHeight="2" behindDoc="1" locked="0" layoutInCell="1" hidden="0" allowOverlap="1">
            <wp:simplePos x="0" y="0"/>
            <wp:positionH relativeFrom="margin">
              <wp:posOffset>731520</wp:posOffset>
            </wp:positionH>
            <wp:positionV relativeFrom="paragraph">
              <wp:posOffset>-304800</wp:posOffset>
            </wp:positionV>
            <wp:extent cx="4099560" cy="3039110"/>
            <wp:effectExtent l="0" t="0" r="0" b="0"/>
            <wp:wrapTopAndBottom/>
            <wp:docPr id="1026" name="Picture 1"/>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5"/>
                    <a:stretch>
                      <a:fillRect/>
                    </a:stretch>
                  </pic:blipFill>
                  <pic:spPr>
                    <a:xfrm>
                      <a:off x="0" y="0"/>
                      <a:ext cx="4099560" cy="3039110"/>
                    </a:xfrm>
                    <a:prstGeom prst="rect">
                      <a:avLst/>
                    </a:prstGeom>
                    <a:noFill/>
                    <a:ln>
                      <a:noFill/>
                    </a:ln>
                  </pic:spPr>
                </pic:pic>
              </a:graphicData>
            </a:graphic>
          </wp:anchor>
        </w:drawing>
      </w:r>
      <w:r>
        <w:rPr>
          <w:rFonts w:hint="eastAsia"/>
        </w:rPr>
        <mc:AlternateContent>
          <mc:Choice Requires="wps">
            <w:drawing>
              <wp:anchor distT="0" distB="0" distL="71755" distR="71755" simplePos="0" relativeHeight="3" behindDoc="0" locked="0" layoutInCell="1" hidden="0" allowOverlap="1">
                <wp:simplePos x="0" y="0"/>
                <wp:positionH relativeFrom="column">
                  <wp:posOffset>685800</wp:posOffset>
                </wp:positionH>
                <wp:positionV relativeFrom="paragraph">
                  <wp:posOffset>2326005</wp:posOffset>
                </wp:positionV>
                <wp:extent cx="2446020" cy="8382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2446020" cy="838200"/>
                        </a:xfrm>
                        <a:prstGeom prst="round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0"/>
                              <w:spacing w:line="240" w:lineRule="exact"/>
                              <w:ind w:firstLine="80" w:firstLineChars="50"/>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４月１日時点で３歳から５歳までの保育料</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（上限額）　</w:t>
                            </w:r>
                            <w:r>
                              <w:rPr>
                                <w:rFonts w:hint="eastAsia" w:ascii="HG丸ｺﾞｼｯｸM-PRO" w:hAnsi="HG丸ｺﾞｼｯｸM-PRO" w:eastAsia="HG丸ｺﾞｼｯｸM-PRO"/>
                                <w:sz w:val="16"/>
                              </w:rPr>
                              <w:t>40,300</w:t>
                            </w:r>
                            <w:r>
                              <w:rPr>
                                <w:rFonts w:hint="eastAsia" w:ascii="HG丸ｺﾞｼｯｸM-PRO" w:hAnsi="HG丸ｺﾞｼｯｸM-PRO" w:eastAsia="HG丸ｺﾞｼｯｸM-PRO"/>
                                <w:sz w:val="16"/>
                              </w:rPr>
                              <w:t>円</w:t>
                            </w:r>
                            <w:r>
                              <w:rPr>
                                <w:rFonts w:hint="eastAsia" w:ascii="HG丸ｺﾞｼｯｸM-PRO" w:hAnsi="HG丸ｺﾞｼｯｸM-PRO" w:eastAsia="HG丸ｺﾞｼｯｸM-PRO"/>
                                <w:sz w:val="16"/>
                              </w:rPr>
                              <w:t>/</w:t>
                            </w:r>
                            <w:r>
                              <w:rPr>
                                <w:rFonts w:hint="eastAsia" w:ascii="HG丸ｺﾞｼｯｸM-PRO" w:hAnsi="HG丸ｺﾞｼｯｸM-PRO" w:eastAsia="HG丸ｺﾞｼｯｸM-PRO"/>
                                <w:sz w:val="16"/>
                              </w:rPr>
                              <w:t>月</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 xml:space="preserve"> </w:t>
                            </w:r>
                            <w:r>
                              <w:rPr>
                                <w:rFonts w:hint="eastAsia" w:ascii="HG丸ｺﾞｼｯｸM-PRO" w:hAnsi="HG丸ｺﾞｼｯｸM-PRO" w:eastAsia="HG丸ｺﾞｼｯｸM-PRO"/>
                                <w:sz w:val="16"/>
                              </w:rPr>
                              <w:t>０歳から２歳までの非課税世帯の保育料</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 xml:space="preserve"> (</w:t>
                            </w:r>
                            <w:r>
                              <w:rPr>
                                <w:rFonts w:hint="eastAsia" w:ascii="HG丸ｺﾞｼｯｸM-PRO" w:hAnsi="HG丸ｺﾞｼｯｸM-PRO" w:eastAsia="HG丸ｺﾞｼｯｸM-PRO"/>
                                <w:sz w:val="16"/>
                              </w:rPr>
                              <w:t>上限額）　</w:t>
                            </w:r>
                            <w:r>
                              <w:rPr>
                                <w:rFonts w:hint="eastAsia" w:ascii="HG丸ｺﾞｼｯｸM-PRO" w:hAnsi="HG丸ｺﾞｼｯｸM-PRO" w:eastAsia="HG丸ｺﾞｼｯｸM-PRO"/>
                                <w:sz w:val="16"/>
                              </w:rPr>
                              <w:t>45,700</w:t>
                            </w:r>
                            <w:r>
                              <w:rPr>
                                <w:rFonts w:hint="eastAsia" w:ascii="HG丸ｺﾞｼｯｸM-PRO" w:hAnsi="HG丸ｺﾞｼｯｸM-PRO" w:eastAsia="HG丸ｺﾞｼｯｸM-PRO"/>
                                <w:sz w:val="16"/>
                              </w:rPr>
                              <w:t>円</w:t>
                            </w:r>
                            <w:r>
                              <w:rPr>
                                <w:rFonts w:hint="eastAsia" w:ascii="HG丸ｺﾞｼｯｸM-PRO" w:hAnsi="HG丸ｺﾞｼｯｸM-PRO" w:eastAsia="HG丸ｺﾞｼｯｸM-PRO"/>
                                <w:sz w:val="16"/>
                              </w:rPr>
                              <w:t>/</w:t>
                            </w:r>
                            <w:r>
                              <w:rPr>
                                <w:rFonts w:hint="eastAsia" w:ascii="HG丸ｺﾞｼｯｸM-PRO" w:hAnsi="HG丸ｺﾞｼｯｸM-PRO" w:eastAsia="HG丸ｺﾞｼｯｸM-PRO"/>
                                <w:sz w:val="16"/>
                              </w:rPr>
                              <w:t>月</w:t>
                            </w:r>
                          </w:p>
                          <w:p>
                            <w:pPr>
                              <w:pStyle w:val="0"/>
                              <w:jc w:val="center"/>
                              <w:rPr>
                                <w:rFonts w:hint="eastAsia"/>
                              </w:rPr>
                            </w:pPr>
                          </w:p>
                        </w:txbxContent>
                      </wps:txbx>
                      <wps:bodyPr vertOverflow="overflow" horzOverflow="overflow" wrap="square" anchor="ctr"/>
                    </wps:wsp>
                  </a:graphicData>
                </a:graphic>
              </wp:anchor>
            </w:drawing>
          </mc:Choice>
          <mc:Fallback>
            <w:pict>
              <v:roundrect id="オブジェクト 0" style="z-index:3;height:66pt;mso-wrap-distance-left:5.65pt;width:192.6pt;mso-wrap-distance-top:0pt;mso-position-horizontal-relative:text;position:absolute;margin-top:183.15pt;margin-left:54pt;mso-position-vertical-relative:text;mso-wrap-distance-bottom:0pt;mso-wrap-distance-right:5.65pt;v-text-anchor:middle;" o:spid="_x0000_s1027" o:allowincell="t" o:allowoverlap="t" filled="t" fillcolor="#4ea72e [3209]" stroked="t" strokecolor="#00465f" strokeweight="1pt" o:spt="2" arcsize="10923f">
                <v:fill/>
                <v:stroke linestyle="single" miterlimit="8" endcap="flat" dashstyle="solid" filltype="solid"/>
                <v:textbox style="layout-flow:horizontal;">
                  <w:txbxContent>
                    <w:p>
                      <w:pPr>
                        <w:pStyle w:val="0"/>
                        <w:spacing w:line="240" w:lineRule="exact"/>
                        <w:ind w:firstLine="80" w:firstLineChars="50"/>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４月１日時点で３歳から５歳までの保育料</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（上限額）　</w:t>
                      </w:r>
                      <w:r>
                        <w:rPr>
                          <w:rFonts w:hint="eastAsia" w:ascii="HG丸ｺﾞｼｯｸM-PRO" w:hAnsi="HG丸ｺﾞｼｯｸM-PRO" w:eastAsia="HG丸ｺﾞｼｯｸM-PRO"/>
                          <w:sz w:val="16"/>
                        </w:rPr>
                        <w:t>40,300</w:t>
                      </w:r>
                      <w:r>
                        <w:rPr>
                          <w:rFonts w:hint="eastAsia" w:ascii="HG丸ｺﾞｼｯｸM-PRO" w:hAnsi="HG丸ｺﾞｼｯｸM-PRO" w:eastAsia="HG丸ｺﾞｼｯｸM-PRO"/>
                          <w:sz w:val="16"/>
                        </w:rPr>
                        <w:t>円</w:t>
                      </w:r>
                      <w:r>
                        <w:rPr>
                          <w:rFonts w:hint="eastAsia" w:ascii="HG丸ｺﾞｼｯｸM-PRO" w:hAnsi="HG丸ｺﾞｼｯｸM-PRO" w:eastAsia="HG丸ｺﾞｼｯｸM-PRO"/>
                          <w:sz w:val="16"/>
                        </w:rPr>
                        <w:t>/</w:t>
                      </w:r>
                      <w:r>
                        <w:rPr>
                          <w:rFonts w:hint="eastAsia" w:ascii="HG丸ｺﾞｼｯｸM-PRO" w:hAnsi="HG丸ｺﾞｼｯｸM-PRO" w:eastAsia="HG丸ｺﾞｼｯｸM-PRO"/>
                          <w:sz w:val="16"/>
                        </w:rPr>
                        <w:t>月</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 xml:space="preserve"> </w:t>
                      </w:r>
                      <w:r>
                        <w:rPr>
                          <w:rFonts w:hint="eastAsia" w:ascii="HG丸ｺﾞｼｯｸM-PRO" w:hAnsi="HG丸ｺﾞｼｯｸM-PRO" w:eastAsia="HG丸ｺﾞｼｯｸM-PRO"/>
                          <w:sz w:val="16"/>
                        </w:rPr>
                        <w:t>０歳から２歳までの非課税世帯の保育料</w:t>
                      </w:r>
                    </w:p>
                    <w:p>
                      <w:pPr>
                        <w:pStyle w:val="0"/>
                        <w:spacing w:line="240" w:lineRule="exact"/>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 xml:space="preserve"> (</w:t>
                      </w:r>
                      <w:r>
                        <w:rPr>
                          <w:rFonts w:hint="eastAsia" w:ascii="HG丸ｺﾞｼｯｸM-PRO" w:hAnsi="HG丸ｺﾞｼｯｸM-PRO" w:eastAsia="HG丸ｺﾞｼｯｸM-PRO"/>
                          <w:sz w:val="16"/>
                        </w:rPr>
                        <w:t>上限額）　</w:t>
                      </w:r>
                      <w:r>
                        <w:rPr>
                          <w:rFonts w:hint="eastAsia" w:ascii="HG丸ｺﾞｼｯｸM-PRO" w:hAnsi="HG丸ｺﾞｼｯｸM-PRO" w:eastAsia="HG丸ｺﾞｼｯｸM-PRO"/>
                          <w:sz w:val="16"/>
                        </w:rPr>
                        <w:t>45,700</w:t>
                      </w:r>
                      <w:r>
                        <w:rPr>
                          <w:rFonts w:hint="eastAsia" w:ascii="HG丸ｺﾞｼｯｸM-PRO" w:hAnsi="HG丸ｺﾞｼｯｸM-PRO" w:eastAsia="HG丸ｺﾞｼｯｸM-PRO"/>
                          <w:sz w:val="16"/>
                        </w:rPr>
                        <w:t>円</w:t>
                      </w:r>
                      <w:r>
                        <w:rPr>
                          <w:rFonts w:hint="eastAsia" w:ascii="HG丸ｺﾞｼｯｸM-PRO" w:hAnsi="HG丸ｺﾞｼｯｸM-PRO" w:eastAsia="HG丸ｺﾞｼｯｸM-PRO"/>
                          <w:sz w:val="16"/>
                        </w:rPr>
                        <w:t>/</w:t>
                      </w:r>
                      <w:r>
                        <w:rPr>
                          <w:rFonts w:hint="eastAsia" w:ascii="HG丸ｺﾞｼｯｸM-PRO" w:hAnsi="HG丸ｺﾞｼｯｸM-PRO" w:eastAsia="HG丸ｺﾞｼｯｸM-PRO"/>
                          <w:sz w:val="16"/>
                        </w:rPr>
                        <w:t>月</w:t>
                      </w:r>
                    </w:p>
                    <w:p>
                      <w:pPr>
                        <w:pStyle w:val="0"/>
                        <w:jc w:val="center"/>
                        <w:rPr>
                          <w:rFonts w:hint="eastAsia"/>
                        </w:rPr>
                      </w:pPr>
                    </w:p>
                  </w:txbxContent>
                </v:textbox>
                <v:imagedata o:title=""/>
                <w10:wrap type="none" anchorx="text" anchory="text"/>
              </v:roundrect>
            </w:pict>
          </mc:Fallback>
        </mc:AlternateContent>
      </w:r>
      <w:bookmarkStart w:id="0" w:name="_GoBack"/>
      <w:bookmarkEnd w:id="0"/>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★保護者から利用する施設に保育料をお支払いいただいた後、市から保護者へ支払います。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※保育料以外の実費部分については保護者負担となります。★有効期間内にご利用の施設へ支払われた保育料について次のように請求してください。</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①施設等利用給付認定申請をし、市から「保育の必要性の認定」を受けます。</w:t>
      </w:r>
    </w:p>
    <w:p>
      <w:pPr>
        <w:pStyle w:val="0"/>
        <w:ind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申請書類は市や行政センター、ホームページにあります。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（入所予定の認可外保育施設では施設でとりまとめて申請する場合があります。）</w:t>
      </w: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②「保育の必要性の認定」を受けると、市から「施設等利用給付認定通知書」が発行されます。</w:t>
      </w: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③「施設等利用給付認定通知書」を利用施設に提示し、保育料を支払います。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④施設が発行する保育料部分の「提供証明書」と「領収書」をもらいます。</w:t>
      </w:r>
    </w:p>
    <w:p>
      <w:pPr>
        <w:pStyle w:val="0"/>
        <w:ind w:left="420" w:hanging="420" w:hangingChars="200"/>
        <w:rPr>
          <w:rFonts w:hint="eastAsia" w:ascii="HG丸ｺﾞｼｯｸM-PRO" w:hAnsi="HG丸ｺﾞｼｯｸM-PRO" w:eastAsia="HG丸ｺﾞｼｯｸM-PRO"/>
        </w:rPr>
      </w:pPr>
      <w:r>
        <w:rPr>
          <w:rFonts w:hint="eastAsia" w:ascii="HG丸ｺﾞｼｯｸM-PRO" w:hAnsi="HG丸ｺﾞｼｯｸM-PRO" w:eastAsia="HG丸ｺﾞｼｯｸM-PRO"/>
        </w:rPr>
        <w:t>　（このとき「施設等利用給付認定通知書」、「提供証明書」、「領収書」に記載された認定</w:t>
      </w:r>
    </w:p>
    <w:p>
      <w:pPr>
        <w:pStyle w:val="0"/>
        <w:ind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保護者が一致するようにしてください。）</w:t>
      </w:r>
    </w:p>
    <w:p>
      <w:pPr>
        <w:pStyle w:val="0"/>
        <w:ind w:left="420" w:hanging="420" w:hangingChars="200"/>
        <w:rPr>
          <w:rFonts w:hint="eastAsia" w:ascii="HG丸ｺﾞｼｯｸM-PRO" w:hAnsi="HG丸ｺﾞｼｯｸM-PRO" w:eastAsia="HG丸ｺﾞｼｯｸM-PRO"/>
        </w:rPr>
      </w:pPr>
      <w:r>
        <w:rPr>
          <w:rFonts w:hint="eastAsia" w:ascii="HG丸ｺﾞｼｯｸM-PRO" w:hAnsi="HG丸ｺﾞｼｯｸM-PRO" w:eastAsia="HG丸ｺﾞｼｯｸM-PRO"/>
        </w:rPr>
        <w:t>⑤施設に支払った保育料を市に請求するため、市へ「提供証明書」と「領収書」、保育料還</w:t>
      </w:r>
    </w:p>
    <w:p>
      <w:pPr>
        <w:pStyle w:val="0"/>
        <w:ind w:left="420" w:leftChars="10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付先の「認定保護者名義の通帳」を持参します。</w:t>
      </w: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　市の窓口で「施設等利用費請求書」を記入し「提供証明書」と「領収書」を添付し提出します。</w:t>
      </w:r>
    </w:p>
    <w:p>
      <w:pPr>
        <w:pStyle w:val="0"/>
        <w:ind w:left="210" w:hanging="210"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　（認定保護者と通帳の名義が一致しない場合、「施設等利用費請求書」に記載の「委任状」に記入をする必要があります。）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⑥原則、申請日の翌月末に市が保育料（請求分）を口座に振り込みます。</w:t>
      </w:r>
    </w:p>
    <w:p>
      <w:pPr>
        <w:pStyle w:val="0"/>
        <w:ind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※振込通知は送付しませんので、記帳等にて入金確認をお願いします。</w:t>
      </w:r>
    </w:p>
    <w:p>
      <w:pPr>
        <w:pStyle w:val="0"/>
        <w:ind w:left="210" w:leftChars="100"/>
        <w:rPr>
          <w:rFonts w:hint="eastAsia" w:ascii="HG丸ｺﾞｼｯｸM-PRO" w:hAnsi="HG丸ｺﾞｼｯｸM-PRO" w:eastAsia="HG丸ｺﾞｼｯｸM-PRO"/>
          <w:u w:val="single" w:color="auto"/>
        </w:rPr>
      </w:pPr>
      <w:r>
        <w:rPr>
          <w:rFonts w:hint="eastAsia" w:ascii="HG丸ｺﾞｼｯｸM-PRO" w:hAnsi="HG丸ｺﾞｼｯｸM-PRO" w:eastAsia="HG丸ｺﾞｼｯｸM-PRO"/>
          <w:u w:val="single" w:color="auto"/>
        </w:rPr>
        <w:t>※請求期限は、施設を利用した月の翌月１日から２年間となります。利用から２年過ぎた保育料は時効を迎え、請求できなくなります。</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58</TotalTime>
  <Pages>1</Pages>
  <Words>0</Words>
  <Characters>666</Characters>
  <Application>JUST Note</Application>
  <Lines>23</Lines>
  <Paragraphs>17</Paragraphs>
  <CharactersWithSpaces>670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出雲市 IVCP172</dc:creator>
  <cp:lastModifiedBy>Administrator</cp:lastModifiedBy>
  <dcterms:created xsi:type="dcterms:W3CDTF">2024-10-17T04:52:00Z</dcterms:created>
  <dcterms:modified xsi:type="dcterms:W3CDTF">2026-09-30T08:13:46Z</dcterms:modified>
  <cp:revision>10</cp:revision>
</cp:coreProperties>
</file>