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明朝" w:hAnsi="游明朝" w:eastAsia="游明朝"/>
        </w:rPr>
      </w:pPr>
      <w:bookmarkStart w:id="0" w:name="bookmark0"/>
      <w:bookmarkEnd w:id="0"/>
      <w:bookmarkStart w:id="1" w:name="bookmark1"/>
      <w:bookmarkEnd w:id="1"/>
      <w:bookmarkStart w:id="2" w:name="bookmark2"/>
      <w:bookmarkEnd w:id="2"/>
      <w:bookmarkStart w:id="3" w:name="_GoBack"/>
      <w:bookmarkEnd w:id="3"/>
      <w:r>
        <w:rPr>
          <w:rFonts w:hint="eastAsia" w:ascii="游明朝" w:hAnsi="游明朝" w:eastAsia="游明朝"/>
        </w:rPr>
        <w:t>（別紙）</w:t>
      </w:r>
    </w:p>
    <w:p>
      <w:pPr>
        <w:pStyle w:val="0"/>
        <w:rPr>
          <w:rFonts w:hint="default"/>
        </w:rPr>
      </w:pPr>
      <w:r>
        <w:rPr>
          <w:rFonts w:hint="eastAsia"/>
        </w:rPr>
        <w:t>　⑴　農業関係者（権利提供者、常時従事者、農作業委託者、農地中間管理機構、地方公共団体、農業協同組合、投資円滑化法に基づく承認会社等）</w:t>
      </w:r>
    </w:p>
    <w:tbl>
      <w:tblPr>
        <w:tblStyle w:val="23"/>
        <w:tblW w:w="9639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1164"/>
        <w:gridCol w:w="1086"/>
        <w:gridCol w:w="724"/>
        <w:gridCol w:w="905"/>
        <w:gridCol w:w="724"/>
        <w:gridCol w:w="724"/>
        <w:gridCol w:w="905"/>
        <w:gridCol w:w="905"/>
        <w:gridCol w:w="729"/>
        <w:gridCol w:w="922"/>
        <w:gridCol w:w="851"/>
      </w:tblGrid>
      <w:tr>
        <w:trPr>
          <w:trHeight w:val="153" w:hRule="atLeast"/>
        </w:trPr>
        <w:tc>
          <w:tcPr>
            <w:tcW w:w="11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氏名又は名称</w:t>
            </w:r>
          </w:p>
        </w:tc>
        <w:tc>
          <w:tcPr>
            <w:tcW w:w="108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住所又は主たる事務所の所在地</w:t>
            </w:r>
          </w:p>
        </w:tc>
        <w:tc>
          <w:tcPr>
            <w:tcW w:w="1629" w:type="dxa"/>
            <w:gridSpan w:val="2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国籍等</w:t>
            </w:r>
          </w:p>
        </w:tc>
        <w:tc>
          <w:tcPr>
            <w:tcW w:w="1448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議決権の数</w:t>
            </w:r>
          </w:p>
        </w:tc>
        <w:tc>
          <w:tcPr>
            <w:tcW w:w="4312" w:type="dxa"/>
            <w:gridSpan w:val="5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構成員が個人の場合は以下のいずれかの状況</w:t>
            </w:r>
          </w:p>
        </w:tc>
      </w:tr>
      <w:tr>
        <w:trPr>
          <w:trHeight w:val="276" w:hRule="atLeast"/>
        </w:trPr>
        <w:tc>
          <w:tcPr>
            <w:tcW w:w="11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il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05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18"/>
              </w:rPr>
              <w:t>在留資格又は特別永住者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napToGrid w:val="0"/>
              <w:spacing w:before="14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eastAsia="游明朝"/>
                <w:sz w:val="18"/>
              </w:rPr>
            </w:pPr>
            <w:r>
              <w:rPr>
                <w:rFonts w:hint="eastAsia" w:eastAsia="游明朝"/>
                <w:color w:val="000000"/>
                <w:spacing w:val="0"/>
                <w:w w:val="100"/>
                <w:position w:val="0"/>
                <w:sz w:val="18"/>
              </w:rPr>
              <w:t>株主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napToGrid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eastAsia="游明朝"/>
                <w:sz w:val="18"/>
              </w:rPr>
            </w:pPr>
            <w:r>
              <w:rPr>
                <w:rFonts w:hint="eastAsia" w:eastAsia="游明朝"/>
                <w:color w:val="000000"/>
                <w:spacing w:val="0"/>
                <w:w w:val="100"/>
                <w:position w:val="0"/>
                <w:sz w:val="18"/>
              </w:rPr>
              <w:t>総会</w:t>
            </w:r>
          </w:p>
        </w:tc>
        <w:tc>
          <w:tcPr>
            <w:tcW w:w="72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keepNext w:val="0"/>
              <w:keepLines w:val="0"/>
              <w:widowControl w:val="0"/>
              <w:shd w:val="clear" w:color="auto" w:fill="auto"/>
              <w:snapToGrid w:val="0"/>
              <w:spacing w:before="14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eastAsia="游明朝"/>
                <w:sz w:val="18"/>
              </w:rPr>
            </w:pPr>
            <w:r>
              <w:rPr>
                <w:rFonts w:hint="eastAsia" w:eastAsia="游明朝"/>
                <w:color w:val="000000"/>
                <w:spacing w:val="0"/>
                <w:w w:val="100"/>
                <w:position w:val="0"/>
                <w:sz w:val="18"/>
              </w:rPr>
              <w:t>種類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napToGrid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eastAsia="游明朝"/>
                <w:sz w:val="18"/>
              </w:rPr>
            </w:pPr>
            <w:r>
              <w:rPr>
                <w:rFonts w:hint="eastAsia" w:eastAsia="游明朝"/>
                <w:color w:val="000000"/>
                <w:spacing w:val="0"/>
                <w:w w:val="100"/>
                <w:position w:val="0"/>
                <w:sz w:val="18"/>
              </w:rPr>
              <w:t>株主</w:t>
            </w:r>
          </w:p>
          <w:p>
            <w:pPr>
              <w:pStyle w:val="20"/>
              <w:keepNext w:val="0"/>
              <w:keepLines w:val="0"/>
              <w:widowControl w:val="0"/>
              <w:shd w:val="clear" w:color="auto" w:fill="auto"/>
              <w:snapToGrid w:val="0"/>
              <w:spacing w:before="0" w:beforeLines="0" w:beforeAutospacing="0" w:after="0" w:afterLines="0" w:afterAutospacing="0" w:line="240" w:lineRule="auto"/>
              <w:ind w:left="0" w:right="0" w:firstLine="0"/>
              <w:jc w:val="center"/>
              <w:rPr>
                <w:rFonts w:hint="eastAsia" w:eastAsia="游明朝"/>
                <w:sz w:val="18"/>
              </w:rPr>
            </w:pPr>
            <w:r>
              <w:rPr>
                <w:rFonts w:hint="eastAsia" w:eastAsia="游明朝"/>
                <w:color w:val="000000"/>
                <w:spacing w:val="0"/>
                <w:w w:val="100"/>
                <w:position w:val="0"/>
                <w:sz w:val="18"/>
              </w:rPr>
              <w:t>総会</w:t>
            </w:r>
          </w:p>
        </w:tc>
        <w:tc>
          <w:tcPr>
            <w:tcW w:w="181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農地等の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提供面積（㎡）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農業への</w:t>
            </w:r>
          </w:p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年間従事日数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農作業委託の内容</w:t>
            </w:r>
          </w:p>
        </w:tc>
      </w:tr>
      <w:tr>
        <w:trPr>
          <w:trHeight w:val="768" w:hRule="atLeast"/>
        </w:trPr>
        <w:tc>
          <w:tcPr>
            <w:tcW w:w="11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2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72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51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ind w:firstLine="103" w:firstLineChars="50"/>
              <w:rPr>
                <w:rFonts w:hint="default"/>
              </w:rPr>
            </w:pPr>
          </w:p>
        </w:tc>
      </w:tr>
      <w:tr>
        <w:trPr>
          <w:trHeight w:val="990" w:hRule="atLeast"/>
        </w:trPr>
        <w:tc>
          <w:tcPr>
            <w:tcW w:w="116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086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05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游明朝"/>
                <w:sz w:val="18"/>
              </w:rPr>
            </w:pPr>
          </w:p>
        </w:tc>
        <w:tc>
          <w:tcPr>
            <w:tcW w:w="724" w:type="dxa"/>
            <w:vMerge w:val="continue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eastAsia="游明朝"/>
                <w:sz w:val="18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権利の種類</w:t>
            </w:r>
          </w:p>
        </w:tc>
        <w:tc>
          <w:tcPr>
            <w:tcW w:w="905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面積</w:t>
            </w:r>
          </w:p>
        </w:tc>
        <w:tc>
          <w:tcPr>
            <w:tcW w:w="72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直近</w:t>
            </w:r>
          </w:p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実績</w:t>
            </w:r>
          </w:p>
        </w:tc>
        <w:tc>
          <w:tcPr>
            <w:tcW w:w="92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翌事業年度の計画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16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086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05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729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922" w:type="dxa"/>
            <w:vAlign w:val="center"/>
          </w:tcPr>
          <w:p>
            <w:pPr>
              <w:pStyle w:val="0"/>
              <w:ind w:right="820"/>
              <w:jc w:val="both"/>
              <w:rPr>
                <w:rFonts w:hint="default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 w:eastAsia="游明朝"/>
        </w:rPr>
      </w:pPr>
    </w:p>
    <w:sectPr>
      <w:pgSz w:w="11900" w:h="16840"/>
      <w:pgMar w:top="1167" w:right="958" w:bottom="1361" w:left="1198" w:header="739" w:footer="933" w:gutter="0"/>
      <w:cols w:space="720"/>
      <w:noEndnote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tka Display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Subheading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Sitka Display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 Demibold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 Light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教科書体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明朝E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ＪＳ平成明朝体W3">
    <w:panose1 w:val="00000000000000000000"/>
    <w:charset w:val="86"/>
    <w:family w:val="modern"/>
    <w:notTrueType/>
    <w:pitch w:val="fixed"/>
    <w:sig w:usb0="00000000" w:usb1="00000000" w:usb2="00000000" w:usb3="00000000" w:csb0="010004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特太ゴシック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ＨＰ平成ゴシックW5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tka Subheading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tka Small Semibold">
    <w:panose1 w:val="00000000000000000000"/>
    <w:charset w:val="00"/>
    <w:family w:val="auto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rawingGridHorizontalSpacing w:val="181"/>
  <w:drawingGridVerticalSpacing w:val="181"/>
  <w:characterSpacingControl w:val="compressPunctuation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4"/>
      </w:rPr>
    </w:rPrDefault>
    <w:pPrDefault>
      <w:pPr>
        <w:spacing w:before="0" w:beforeLines="0" w:beforeAutospacing="0" w:after="0" w:afterLines="0" w:afterAutospacing="0" w:line="240" w:lineRule="auto"/>
        <w:ind w:left="0" w:right="0" w:firstLine="0"/>
        <w:jc w:val="left"/>
      </w:pPr>
    </w:pPrDefault>
  </w:docDefaults>
  <w:style w:type="paragraph" w:styleId="0" w:default="1">
    <w:name w:val="Normal"/>
    <w:next w:val="0"/>
    <w:link w:val="0"/>
    <w:uiPriority w:val="0"/>
    <w:pPr>
      <w:keepNext w:val="0"/>
      <w:keepLines w:val="0"/>
      <w:widowControl w:val="0"/>
      <w:shd w:val="clear" w:color="auto" w:fill="auto"/>
      <w:spacing w:before="0" w:beforeLines="0" w:beforeAutospacing="0" w:after="0" w:afterLines="0" w:afterAutospacing="0" w:line="240" w:lineRule="auto"/>
      <w:ind w:left="0" w:right="0" w:firstLine="0"/>
      <w:jc w:val="left"/>
    </w:pPr>
    <w:rPr>
      <w:color w:val="000000"/>
      <w:spacing w:val="0"/>
      <w:w w:val="100"/>
      <w:position w:val="0"/>
      <w:sz w:val="24"/>
      <w:shd w:val="clear" w:color="auto" w:fill="auto"/>
    </w:rPr>
  </w:style>
  <w:style w:type="character" w:styleId="10" w:default="1">
    <w:name w:val="Default Paragraph Font"/>
    <w:next w:val="10"/>
    <w:link w:val="0"/>
    <w:uiPriority w:val="0"/>
    <w:semiHidden/>
    <w:rPr>
      <w:color w:val="000000"/>
      <w:spacing w:val="0"/>
      <w:w w:val="100"/>
      <w:position w:val="0"/>
      <w:sz w:val="24"/>
      <w:shd w:val="clear" w:color="auto" w:fill="auto"/>
    </w:rPr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1_"/>
    <w:basedOn w:val="10"/>
    <w:next w:val="15"/>
    <w:link w:val="18"/>
    <w:uiPriority w:val="0"/>
    <w:rPr>
      <w:sz w:val="22"/>
      <w:u w:val="none" w:color="auto"/>
      <w:shd w:val="clear" w:color="auto" w:fill="auto"/>
    </w:rPr>
  </w:style>
  <w:style w:type="character" w:styleId="16" w:customStyle="1">
    <w:name w:val="テーブルのキャプション|1_"/>
    <w:basedOn w:val="10"/>
    <w:next w:val="16"/>
    <w:link w:val="19"/>
    <w:uiPriority w:val="0"/>
    <w:rPr>
      <w:sz w:val="22"/>
      <w:u w:val="none" w:color="auto"/>
      <w:shd w:val="clear" w:color="auto" w:fill="auto"/>
    </w:rPr>
  </w:style>
  <w:style w:type="character" w:styleId="17" w:customStyle="1">
    <w:name w:val="その他|1_"/>
    <w:basedOn w:val="10"/>
    <w:next w:val="17"/>
    <w:link w:val="20"/>
    <w:uiPriority w:val="0"/>
    <w:rPr>
      <w:sz w:val="22"/>
      <w:u w:val="none" w:color="auto"/>
      <w:shd w:val="clear" w:color="auto" w:fill="auto"/>
    </w:rPr>
  </w:style>
  <w:style w:type="paragraph" w:styleId="18" w:customStyle="1">
    <w:name w:val="本文|1"/>
    <w:basedOn w:val="0"/>
    <w:next w:val="18"/>
    <w:link w:val="15"/>
    <w:uiPriority w:val="0"/>
    <w:pPr>
      <w:widowControl w:val="0"/>
      <w:shd w:val="clear" w:color="auto" w:fill="auto"/>
      <w:spacing w:after="290" w:afterLines="0" w:afterAutospacing="0"/>
    </w:pPr>
    <w:rPr>
      <w:sz w:val="22"/>
      <w:u w:val="none" w:color="auto"/>
      <w:shd w:val="clear" w:color="auto" w:fill="auto"/>
    </w:rPr>
  </w:style>
  <w:style w:type="paragraph" w:styleId="19" w:customStyle="1">
    <w:name w:val="テーブルのキャプション|1"/>
    <w:basedOn w:val="0"/>
    <w:next w:val="19"/>
    <w:link w:val="16"/>
    <w:uiPriority w:val="0"/>
    <w:pPr>
      <w:widowControl w:val="0"/>
      <w:shd w:val="clear" w:color="auto" w:fill="auto"/>
    </w:pPr>
    <w:rPr>
      <w:sz w:val="22"/>
      <w:u w:val="none" w:color="auto"/>
      <w:shd w:val="clear" w:color="auto" w:fill="auto"/>
    </w:rPr>
  </w:style>
  <w:style w:type="paragraph" w:styleId="20" w:customStyle="1">
    <w:name w:val="その他|1"/>
    <w:basedOn w:val="0"/>
    <w:next w:val="20"/>
    <w:link w:val="17"/>
    <w:uiPriority w:val="0"/>
    <w:pPr>
      <w:widowControl w:val="0"/>
      <w:shd w:val="clear" w:color="auto" w:fill="auto"/>
    </w:pPr>
    <w:rPr>
      <w:sz w:val="22"/>
      <w:u w:val="none" w:color="auto"/>
      <w:shd w:val="clear" w:color="auto" w:fill="aut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270</TotalTime>
  <Pages>1</Pages>
  <Words>0</Words>
  <Characters>188</Characters>
  <Application>JUST Note</Application>
  <Lines>315</Lines>
  <Paragraphs>24</Paragraphs>
  <CharactersWithSpaces>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WAS500</cp:lastModifiedBy>
  <cp:lastPrinted>2025-08-20T04:06:55Z</cp:lastPrinted>
  <dcterms:modified xsi:type="dcterms:W3CDTF">2026-01-23T00:57:43Z</dcterms:modified>
  <cp:revision>8</cp:revision>
</cp:coreProperties>
</file>