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十一月の俳句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本堂の裏は明るく石蕗の花　　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凪ぎし湖桜紅葉の木の間より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うす紅の山茶花やさし生け垣に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クリーンデー｢ごみ｣と落栗拾ひけり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落葉道八雲も参り目の薬師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落葉踏みて弁当広ぐ羽衣池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16</Words>
  <Characters>93</Characters>
  <Application>JUST Note</Application>
  <Lines>1</Lines>
  <Paragraphs>1</Paragraphs>
  <CharactersWithSpaces>108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2025-10-02T08:06:31Z</dcterms:modified>
  <cp:revision>13</cp:revision>
</cp:coreProperties>
</file>